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Technician, Retail Store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Compliance &amp; New Hire/Clerk Rx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culture at CVS - how we do things and what's important to us - as well as CVS's Service standards - what excellent service looks like and how to deliver 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key responsibilities of CVS Health colleagues and provides appropriate guidance for colleagues looking for the right solutions to ethical questions or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After completing this course, you will be able to follow guidelines when using social media as a colleague of CVS Health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company policies, procedures and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Comply with the CVS Health Attendance Policy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Define workplace violence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behaviors of concern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five steps to respond to violent events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store culture as a tool to reduce workplace violence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List available options to report violent incidents or report a behavior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 compliant with laws regarding Minor employee work restrictions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 compliant with laws regarding Americans with Disabilities Act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 compliant with laws regarding Sale of age restricted products and money orders/money grams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 compliant with laws regarding HIPAA (non-pharmacy employees)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 compliant with laws regarding Third Party billing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value and benefits of the ExtraCare Program, including how to properly convey the benefits of the program to the customer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how a compliance program operates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how compliance program violations should be reported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basic register transactions and how to provide good customer service at the checkout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procedures for processing customer refunds and the customer skills involved in successfully managing these more complex transactions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Define the different types of confidential information in your workplace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why it is important to protect confidential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 familiar with the best practices on safeguarding confidential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 knowledgeable on additional security measures you can take to protect confidential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your responsibilities related to the privacy and security of confidential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Define money laundering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know where to communicate suspicious activity, including fraud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Comply with company policy and limits surrounding prepaid products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Policies and requirements regarding controlled substances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importance of verifying that each prescription is valid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Ways to identify forged and altered prescriptions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Dispensing guidelines for narcotic drugs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Recordkeeping requirements for controlled substances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Diversion and diversion trends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How to report thefts and losses of controlled substances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