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51-8013.01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Study station blueprints, circuits and instructions: AC power distribution systems (station Service), control and relay equipment, DC power distribution system, river monitoring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Turbine and hydraulic experience: Main transformer (protection, electrical auxiliary equipment, switch and local operation of unit breaker and discs), turbine (protection, governor and lube oil systems, unit mechanical auxiliary equipment switching/valving and local operations of turbine generator set)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Plant mechanical and electrical auxiliary equipment: Station sump and unwatering systems, fire detection and protection systems, waste oil system, powerhouse water systems, sanitary sewage system, heating ventilation and air conditioning systems and gantry and bridge cranes and elevators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Switchyards and river crossing: Relay house (controls and relay house station service), river crossing and switchyard bus relay protection and 115KV and 230KV disconnect switch/instruction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 room training: Computer systems/plant control, loss of control system; telephone, radio and security systems; shift duties/inspections, charts and jem meters; emergency action plan; spill prevention control/countermeasures; operating limits; Mid-Columbia hourly coordination; safe clearance procedure administration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training: Electrical Workers Safety Rules (WAC 296-45), District dispatching and operating safety rules, confined space and rescue training, PureSafety and MSDS training, breathing apparatus/respiratory protection program, accident prevention program, fire safety and first aid/CPR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Inspections - Plants and projects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Fishways - Adult and juvenile fish facilities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51-8013.01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w:t>
              <w:br/>
              <w:t>Sponsor approved online or distance learning courses (specify): Electic Utility</w:t>
              <w:br/>
              <w:t>Technicians shall also complete 14 correspondence courcse from the Electronics</w:t>
              <w:br/>
              <w:t>Technician Course from Penn Foster and 4 correspondence courses from the</w:t>
              <w:br/>
              <w:t>Protective Relay Training Course from Valence Electrical Training Services.</w:t>
              <w:br/>
              <w:t>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