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fasten materials to make frameworks or props, using hand tools and wood screws, nails, dowel pins, or glue.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or repair cabinets, doors, frameworks, floors, or other wooden fixtures used in buildings, using woodworking machines, carpenter's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construction project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subcontractors to deal with special areas, such as heating or electrical wiring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products 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sleds from logs and timbers for use in hauling camp buildings and machinery through wooded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