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Landscape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WSATC–1836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and read blueprint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design issues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plants for best balance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Constructing or maintaining lawns, yards, gardens, or other landscape surfaces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Mixing and spreading mulches, ground cover, soil amendments, decorative bark, or decorative rock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Seeding and sodding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Applying chemicals or fertilizers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Planting trees, shrubs, or plants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servicing or repairing above ground lawn or landscape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servicing, or repairing underground lawn or landscape sprinkler systems to a maximum depth of three feet below finish grade (3 inch in diameter pipe or smaller)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or placing pre-manufactured trellis work, play equipment, benches, or picnic tables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Constructing rock walls or landscape block walls for beautification purposes of a plot of land by changing its natural features through addition or modification of lawns, trees, bushes etc. to a maximum height of four feet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Land clearing and/or grubbing to a maximum depth of six inches below finished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Spreading top soil to a maximum depth of six inches below finished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Trenching to a maximum depth of three feet below finish grade using power equipment under ninety horsepower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french drains or other subsurface water collection systems (4 inch in diameter pipe of smaller) to a maximum depth of three feet below finish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Hauling top soil, plants, or other landscaping materials in trucks with only one rear axle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and repair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Practice safe work habits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 job records and write reports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Landscape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WSATC–1836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Supervised field trips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training seminars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Rainbird (irrigation), Zakariah Collings Consulting (CPR, First Aid, Jobsite Safety, Equipment Safety), ECO 3 (Erosion)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online or distance learning courses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Wyser Construction Co., Inc. Employee Manual Safety &amp; Procedures Manual&amp; Injury/Illness Prevention Program, Brochure studies and readings; Country Green Turf Farms for Fertilizer and Sod installation and maintenance, plant identification manuals.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Vendor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Wetlands &amp; Woodlands Nursery (Plants), Rainbird, Safety Source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