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BRICKLAYER-MASON &amp; PLASTERER</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Following OSHA Safety Practices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Following all applicable OSHA regulations, standards and rules on-the-job</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75</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Care, Use, and Maintenance of Tools and Equipment</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Care, safe use, and maintenance of tools and equipment including: a. trowels b. hammer and chisel c. plumb bob and level d. scaffolding e. saws f. welding equipment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350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Laying Masonry Units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Laying out work from plans, blueprints, or specifications 2. Mixing mortar, grout, and patent mortars 3. Building corner leads, or using corner poles (masonry guides) 4. Stretching line to guide courses of masonry units 5. Spreading bed of mortar 6. Aligning courses vertically and horizontally 7. Removing excess mortar 8. Cutting and sawing masonry units 9. Installing door and window lintels 10. Repairing masonry units; replacing missing units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2.5K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Laying Specialty Masonry Units</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Laying: a. glass block b. structural tile c. autoclaved aerated concrete d. refractory brick e. terra cotta</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600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Building Masonry Footings and Foundations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Building Masonry Arches, Columns, Piers, And Corners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Building Masonry Fireplaces and Chimneys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Installing Masonry Panels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Laying Stone</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Shaping and trimming stone 2. Laying out work from plans, blueprints, or specifications 3. Mixing mortars 4. Spreading bed of mortar 5. Laying first stone 6. Laying additional courses of mortar and stone 7. Aligning and leveling stones vertically and horizontally 8. Finishing joints between stones 9. Anchoring stones to a wall by welding or bolting 10. Constructing trim, sills, arches and coping (optional) 11. Cleaning finished surfaces and structures 12. Repairing and replacing stones 13. Installing prefab stone panels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Plastering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Scratching and browning 2. Lining, dotting, screeding 3. White coating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950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Specialty Plastering</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Sandfinishing and texture finishing 2. Acoustical plastering 3. Applying plaster veneers 4. Applying stucco</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1.3K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Plaster Ornamentation</w:t>
            </w:r>
          </w:p>
          <w:p w14:paraId="527C46A4" w14:textId="77777777" w:rsidR="00A24E94" w:rsidRDefault="00FF2D3F" w:rsidP="005C5736">
            <w:pPr>
              <w:rPr>
                <w:rFonts w:ascii="Arial" w:hAnsi="Arial" w:cs="Arial"/>
                <w:color w:val="415262"/>
                <w:sz w:val="22"/>
                <w:szCs w:val="22"/>
              </w:rPr>
            </w:pPr>
            <w:r>
              <w:rPr>
                <w:rFonts w:ascii="Arial" w:hAnsi="Arial" w:cs="Arial"/>
                <w:noProof/>
                <w:color w:val="415262"/>
                <w:sz w:val="22"/>
                <w:szCs w:val="22"/>
              </w:rPr>
              <w:t>1. Making molds and templates 2. Running cornice and mitering 3. Sticking ornaments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430</w:t>
            </w: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BRICKLAYER-MASON &amp; PLASTERER</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47-2021.00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Construction safety 2. OSHA 10-Hour Construction Course – if required for Public Work 3. Material handling and storage 4. Proper lifting techniques 5. Fall protection 6. Scaffold safety 7. Materials safety data sheets 8. Asbestos Awareness – minimum 4 hours (see attachment) 9. Alcohol and drug awareness 10. First aid – minimum 6.5 hours every 3 years 11. Sexual Harassment Prevention Training – must comply with Section 201-g of the Labor Law</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Blueprint reading 2. Sketching 3. Layout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Mathematics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Trade math 2. Estimating materials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Trade Theory and Science</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Orientation to the trade 2. Use of tools and equipment 3. Mortars: types and application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Bricklaying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Code requirements 2. Line attachment and setting trigs 3. Masonry bonds 4. Transits, water levels, lasers 5. Lintels, sills and arches 6. Glass block 7. Fireplaces 8. Introduction to restoration and retrofitting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Stone Masonry</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Building code specifications 2. Stone bonds and patterns 3. Expansion joints 4. Cleaning, sealing and finishing 5. Masonry restoration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Plastering</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Preparing proper plastering bases 2. Application of bases 3. Dotting, rodding, and screeding 4. Preparation of material 5. Application of interior and exterior plasters 6. Application of all plaster textures 7. Benchwork (template)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Other</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Industrial history and labor relations (20 hours)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Additional Recommended Courses</w:t>
            </w:r>
          </w:p>
          <w:p w14:paraId="7CDED758" w14:textId="77777777" w:rsidR="001326B3" w:rsidRDefault="001326B3" w:rsidP="009E21F2">
            <w:pPr>
              <w:rPr>
                <w:rFonts w:ascii="Arial" w:hAnsi="Arial" w:cs="Arial"/>
                <w:b/>
                <w:bCs/>
                <w:lang w:val="en-US"/>
              </w:rPr>
            </w:pPr>
          </w:p>
          <w:p w14:paraId="4FECE2C8" w14:textId="77777777" w:rsidR="009E21F2" w:rsidRDefault="006E2944" w:rsidP="009E21F2">
            <w:pPr>
              <w:rPr>
                <w:rFonts w:ascii="Arial" w:hAnsi="Arial" w:cs="Arial"/>
                <w:color w:val="415262"/>
                <w:sz w:val="22"/>
                <w:szCs w:val="22"/>
                <w:lang w:val="en-US"/>
              </w:rPr>
            </w:pPr>
            <w:r w:rsidRPr="00A23C38">
              <w:rPr>
                <w:rFonts w:ascii="Arial" w:hAnsi="Arial" w:cs="Arial"/>
                <w:noProof/>
                <w:color w:val="415262"/>
                <w:sz w:val="22"/>
                <w:szCs w:val="22"/>
                <w:lang w:val="en-US"/>
              </w:rPr>
              <w:t>1. Diversity in the workplace 2. Cooperative working skills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Asbestos Awareness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5</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