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HOME HEALTH AIDE (HHA, Dementia)</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31-1011.00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1086D</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Role of the HHA in caring for cognitively impaired clients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care plan for interventions and report successful interventions to supervisor and family. Monitor and document episodes of targeted behaviors and/or new behaviors. Recognize signs of stress and strategies for coping within self other caregivers and family members.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Demonstrate effective communication &amp; interaction with cognitively impaired and their families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redirecting a client. Demonstrate use of validation therapy. Verbalize and demonstrate various approaches for a client who is resisting personal care that will maintain dignity and respect. Demonstrate appropriate interventions for client who is yelling or screaming. Demonstrate therapeutic communication with significant others. Demonstrate coaching techniques to help other caregivers and family members cope with the Dementia process.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assistance with independence, mobility, and therapeutic activities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use of therapeutic activities/exercises to maintain joint function for the cognitively impaired client. Implement care strategies that encourage independence in activities of daily living without increasing client anxiety, respect the clients dignity and desire for control. Implement therapeutic activities appropriate for early, middle, and late states of Dementia. Demonstrate use of therapeutic activities to de-escalate a client who is anxious.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Uses nutritional interventions to enhance nutritional well being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adapting meal preparation to maximize nutritional intake (i.e., offering small servings, finger foods, introducing foods one at a time, frequency meals, snacks, and fluids that are acceptable to cognitively impaired clients). Explain modifications needed to maintain nutritional status.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Psychoactive medications and side effects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Describe basic features of psychoactive medications and their side effects. Demonstrate ability to observe, record and report side effects.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a safe environment for cognitively impaired</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Maintain a safe environment for wandering clients. Maintain safety from potential toxic substances that the confused client may attempt to ingest. Is able to implement interventions to minimize environmental stimuli that may increase a confused client’s agitation, (i.e., noise levels, large groups, television, and radio).</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