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Home Health Aide - Specialty in Hospice and Palliative Care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Role of the Home Health Aide in Hospice and Palliative Care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Recognize the influence of personal, spiritual and cultural values on perceptions regarding dying, death and bereavement and their impact on the quality of hospice and palliative care Demonstrate caring behavior and interpersonal connectivity while maintaining personal and professional bounderies </w:t>
              <w:br/>
              <w:t>Can describe the role of the hospice Home Health Aide in relation to patients, families, colleagues and agencies </w:t>
              <w:br/>
              <w:t>Demonstrate knowledge of the Home Health Aides’s role in pain management </w:t>
              <w:br/>
              <w:t>Can explain Living Will and Do Not Rescusitate (DNR) procedures </w:t>
              <w:br/>
              <w:t>Perform personal care and health-related tasks within the Home Health Aide’s scope of practice and/or other regulatory parameters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Cultural competence: Demonstrate cultural competence by respecting and honoring unique values, diversity and characteristics of patients, families and colleague in hospice/palliative care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Respect diversity: including age, gender, ethnicity, culture, sexual orientation, religious/spiritual, economic status, or differing abilities through the demonstration of knowledge, sensitivity and compassion when providing hospice/palliative care </w:t>
              <w:br/>
              <w:t>Enhance effective interdisciplinary team collaboration by demonstrating respect for awareness of the diversity of team members and their attitudes about hospice/palliative care </w:t>
              <w:br/>
              <w:t>Ensure effective communication through the appropriate use of translators/interpreters when clients speak languages different from those of the care team</w:t>
              <w:br/>
              <w:t>Honor individual preferences and choices for alternative therapies, practices and rituals, yet refrain from imposing own preferences and beliefs</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Use sensitivity in verbal, non-verbal and written communication with or about clients, families, team members and other stakeholders when discussing issues related to hospice/palliative care Demonstrate professional, empathetic, and responsive communication that facilitate hope and exhibit a non-judgmental attitude in the care of clients and families </w:t>
              <w:br/>
              <w:t>Communicate openly, listen actively and provide a meaningful presence to facilitate the identification and discussion of client’s and families’ goals, preferences and needs </w:t>
              <w:br/>
              <w:t>Provide appropriate, accurate information based on the clients and families’ values and needs</w:t>
              <w:br/>
              <w:t>Does not impose unwanted information on the client and family regarding the disease process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