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Chainman/Rodman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17-3031.01A</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for hand tools (other than survey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for survey hand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for rods, chains and related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 signals, land surveying terms and definitions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Hubs, reference points and monuments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Marker Stakes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Bench marks and turning points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First Aid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Measures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Calculators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Chainman/Rodman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17-3031.01A</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Calculating using math, algebra, geometry, trigonometry and coordinate geometry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 Standard First Aid, CPR, tool, roadway and jobsite safety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*Note keeping and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and care of basic tools &amp;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*Methods of Subdivision, Property and Heavy Construction Work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calculators and computers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and care of survey instruments and survey equipment, including field checks and adjustments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*Maps and Plan Reading for Topographic, Subdivision, Heavy Construction and Hydrographic Surveys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calculations, conversions, reductions, quantities and use of surveying software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relations, survey law, ethics, and leadership as a Party Chief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*Geodesy and Global Navigation Satellite Systems unit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Land Survey System, retracement, property surveys, reading and writing legal descriptions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*All survey related work on Solar Photovoltaic Installation jobsites for the Field and Construction Survey processes, may also include, but is not limited to, work on jobsites pertaining to Wind, Water, Electrical and Solar Energy.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*These topics include "green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