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LINEMAN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49-9051.00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Pole, Arms, and Guys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Dig pole holes: Ordinary soil, rock, hard pan, swamp b. Locate poles with proper regard for property lines, sidewalks, ditches, etc. c. Load and unload poles on trailers or trucks d. Apply preservative treatment to wood poles e. Frame poles f. Set poles with pikes g. Face, straighten and line in poles h. Place "heel and toe" on self-supporting poles i. Fill and tamp around pole j. Move a pole by trenching k. Test poles l. Replace poles by digging new hole beside old pole m. Replace poles by pulling old butt and reaming hole n. Select proper arm for job o. Install single arm and buck arm p. Install double arm with space bolts q. Install alley arm r. Install pins and deadend bolts in arm s. Make up guy wire body and tails using clamps t. Install all types of anchors Leg, expanding, cone, swamp, etc. u. Install all types of guys: Sidewalk, span, arm, anchor, etc.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Conductors, Switches, Protective Devices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Stringing of conductors b. Splicing conductors, copper and aluminum c. Tying in conductors, copper and aluminum d. Making conductor to conductor taps, copper and aluminum and combinations of both</w:t>
              <w:br/>
              <w:t>e. Install common types of insulators f. Trimming trees to clear wires g. Remove conductors being replaced h. Install single pole disconnecting switches i. Install gang operated switches j. Install line fuses k. Install pole mounted oil switches l. Install capacitor banks m. Install lightning arrestors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1.8K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Transformers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Install cutouts and proper fuses b. Install and connect a single-phase transformer for 120-volt twowire load and 120/240 volt three-wire load c. Install and connect an additional transformer to secondary bus fed by other transformers d. Install and connect three transformers and wye-delta e. Install and connect two transformers and wye-delta f. Connect transformer bank to supply 240-volt three-phase and 120/240 volt single-phase service g. Connect transformer bank to supply combination 208-volt threephase and 120/208 volt single-phase service h. Connect additional transformers to feed a three-phase bus fed from another service i. Relation and phasing j. Use of voltmeters, ammeters, phase sequence indicators, etc. k. Connect current and potential transformers for metering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Underground Work Experience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Service Drops and Meters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Substation Orientation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Introductory Period in Meter Shop</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24</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Introductory Period in Engineering and Mapping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16</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Miscellaneous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4.9K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LINEMAN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49-9051.00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Sponsor approved training seminars (specify): Vendor and manufacturer provided training as approved by the committee., State Community/Technical college: Grays Harbor College, Other (specify): Camp Rilea evening classes, Seattle City Light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140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140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