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RESIDENTIAL PLUMBER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Plumbing fixtures f. Water services and meters g. Lawn sprinkler systems h. Pneumatic vacuum cleaning systems In addition, the maintenance and repair of all piping and other equipment considered to be the work of the residential plumber.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Plumbing fixtures f. Water services and meters g. Lawn sprinkler systems h. Storm sewers, catch basins, and manholes i. Pneumatic vacuum cleaning systems, equipment and piping j. Domestic swimming pools. In addition, the installation of all piping and equipment commonly considered the work of the residential plumber.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Tools and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Shop procedure b. Use and maintenance of tools and equipment c. Job orders, plans and blueprints d. Erection and use of scaffolds, ladders e. Knowledge and use of materials f. Size and capacity of pipe g. Rigging and hoisting h. Safety measures and first-aid i. Testing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RESIDENTIAL PLUMBER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Other (specify): Training Trust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