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Geospatial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17-1021.00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1062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Application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identifying and developing tools and instruments to satisfy customer needs.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inter-organizational facilitation and communication.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Acquisition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collecting geospatial and related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Analysis and Interpretation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processing data and extracting information to create products, drive conclusions, and inform decision-making reports.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cataloging, retrieving and distributing geospatial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efficiently and effectively applying the company's mission using financial, technical and intellectual skills and resources to optimize the end-products.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Marketing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identifying customer requirements and needs and effectively communicating those needs and requirements to the organization, as well as promoting geospatial solutions.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effectively overseeing activity requirements to produce the desired outcomes on time and within budget.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Analysis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assessing requirements for system capacities including inputs, outputs, processes, timing and performance, as well as recommending necessary additions or adaptations.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integrating resources and developing additional resources to support spatial &amp; temporal user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analyzing, designing, and developing instructional and noninstructional interventions to provide transfer of knowledge and evaluation for performance improvement.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Visualization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role of rendering data and information into visual geospatial representations.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410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Geospatial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17-1021.00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1062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GIS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Includes the use of computer mapping and database in multiple applications. Included are incorporation of imagery and data into a graphical oriented database system. Also included are the fundamentals of Geographical Information Systems (GIS) techniques, approaches, and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GIS Software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foundation for developing a geographic information system using ArcView software. The course gives students the conceptual overview and hands-on experience needed to take full advantage of ArcView software’s display analysis, and presentation mapping functions. Students learn basic ArcView functionality and become familiar with the components of the ArcView graphical user interface (GUI).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Remote Sensing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Includes a discussion of a variety of remote sensing data collections methods. The course deals with manual interpretation data from photographs and other imagery.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Database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course designed to database concepts and goals of database management systems, and relational, hierarchical, and network models of data. Included are Structured Query Language (SQL) and methods of organizing and accessing data.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Cartography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introduction to the preparation and interpretation of data in cartographic form and the use of computers for map compilation, design, and production. This includes principles of global positioning (GPS), methods of map making, and principles of digital cartography.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Data Acquisition in GIS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course that provides students with the knowledge and practical experience necessary to develop skills in the acquisition, conversion, and creation of spatial data. Topics include acquisition of existing data, metadata, conversion in format of digital data, creating digital data utilizing digitizers and scanners, the utilization of remote sensing data, and the Global Positioning System (GPS).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Principles of Image Processing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includes fundamentals of remotely sensed data including scale, feature identification, and symbolization. Topic includes fundamentals of interpretation techniques of various image products, including topographic and thematic maps, aerial photographs, sensor images, and satellite images.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Regional Geography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course that is a global survey of the world’s cultural regions; basic geographic concepts and ideas are used to study and compare people, resources, landscapes, livelihood and economics, and origins across eight major geographic regions. The interaction of countries and regions, their global roles, and the conflicting pressures of cultural diversity versus globalization are presented. The widening gap between more developed and less developed countries is integrated throughout the course. Cultural and ethnic diversity, as it pertains to the expanding population of the United States, is evaluated throughout the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Physical Geography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course that is a laboratory study of basic principles and concepts involved in understanding Earth’s physical systems. Units feature observation, measurement, and analysis in energy, weather and climate, vegetation, soils, landforms, and environmental hazards. In addition to computer applications, construction of maps and interpretation of remote sensing data are integral activities.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