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Rock Sand &amp; Gravel</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47-2073R</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 training in working around surface mining operations. This will include safety in working around mobile equipment, working around conveyors, belts and crushers, plant maintenance and repair.</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Welding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Theory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Stick welding (SMA 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Wire/flux core welding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Oxygen/acetylene cutting and burning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Fabrication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Equipment Operation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Rubber-tired loaders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Dozers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Graders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Repair Procedures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Pneumatic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Hydraulic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Industrial electrical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Circuits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Rock Plant Maintenance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Disassembly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Diagnosis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Assembly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Adjustments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“Green Technology and construction, including but not limited to the philosophy and science of green technology and green building and construction techniques, green waste management, the installation of energy efficient systems including solar, photo voltaic, wind and hydro systems”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Rock Sand &amp; Gravel</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47-2073R</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Welding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Track Equipment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Rubber-Tired Equipment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Component Repair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Plant Disassembly/Assembly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