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HAIR DESIGNER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Skin/Scalp Analysis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Analysis</w:t>
              <w:br/>
              <w:t>b. Technique and Treatment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Salon Business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First Aid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Sanitation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Hair Cutting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Styling and Finishing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Chemical Texture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Hair Coloring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Artificial Hair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Braiding / Natural Hair Styling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HAIR DESIGNER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(specify):</w:t>
              <w:br/>
              <w:t> • Eufora, Davines, Loma, Kevin.Murphy, Keune,</w:t>
              <w:br/>
              <w:t>• Professional Beauty Association, Salon Services Northwest, Northwest Hair</w:t>
              <w:br/>
              <w:t>Stylist Association, Brazilian Blowout, Marica Keratin, American Board</w:t>
              <w:br/>
              <w:t>Certified Haircolorist, Manufacturer Presentations, Trade Shows, Sally</w:t>
              <w:br/>
              <w:t>Rogerson Hair Cutting, Vidal Sassoon Hair cutting, Professional Association</w:t>
              <w:br/>
              <w:t>Workshops and Seminars.</w:t>
              <w:br/>
              <w:t>Sponsor approved online or distance learning courses (specify): Milady Online MindTap Course</w:t>
              <w:br/>
              <w:t>Other (specify): Milady Textbook (digital)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