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Phlebotomist (2036CB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maintain machines, such as those used for plasma collection.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blood or other biohazard fluids or tissue, in accordance with applicable laws, standards, or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contaminated sharps, in accordance with applicable laws, standards,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clean blood-drawing trays, ensuring that all instruments are sterile and all needles, syringes, or related items are of first-time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clean blood-drawing trays, ensuring that all instruments are sterile and all needles, syringes, or related items are of first-time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fluid or tissue samples, using appropriate collection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arteries, using arterial collection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capillaries by dermal puncture, such as heel or finger stick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veins by vacuum tube, syringe, or butterfly venipuncture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 at specific time intervals for tests, such as those assessing therapeutic drug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hemoglobin tests to ensure donor iron levels are normal.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standards tests, such as blood alcohol, blood culture, oral glucose tolerance, glucose screening, blood smears, or peak and trough drug levels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subcutaneous or intramuscular injects, in accordance with licensing restrictions.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saline flushes or dispense anticoagulant drugs, such as Heparin, through intravenous (IV) lines, in accordance with licensing restrictions and under the direction of a medical doctor.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patient, specimen, insurance, or billing information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blood or plasma donors during and after procedures to ensure health, safety, and comfort.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 or fluid samples from collection sites to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fluid or tissue collection procedures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to healthcare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other medical personnel in phlebotomy or laboratory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refreshments to donors to ensure absorption of sugar into their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