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PRACTICAL NURSE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29-2061.00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0837CB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Demonstrates professional conduct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Completes compliance and conduct training as required by the employer and conducts oneself accordingly.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Identifies how to report a concern.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Adheres to dress code.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Communicates with patients, families, and team members in a way that is respectful, caring, ethical, and professional.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Reviews and adheres to the American Nurses Association (ANA) Code of Ethics for Nurses with Interpretive Statements.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Reviews and adheres to the ANA Nursing Scope and Standards of Practice.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Uses technology appropriately.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Performs basic nursing care according to employer organization policies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Administers medications to patients.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Monitors effects of medications; records medications given and patients' reactions.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 and documents hygiene (including oral hygiene) skin and wound care, and safe patient mobility/transport nursing interventions.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Completes head to toe physical assessment according to employer nursing assessment standards.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Performs swallow assessment and explains relevance to nursing practice (eating, swallowing medication).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Identifies abnormal assessment findings.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Contributes to and abides by care plans based on assessment findings.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Contributes to patient progress toward goals of care.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Identifies abnormal laboratory results and discusses possible causes and nursing priorities.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Identifies abnormal imaging results and discusses possible causes and nursing priorities.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Observes and contributes to nurse-to-nurse handoff when appropriate.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Performs basic nursing psychomotor skills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Obtains and documents temperature, blood pressure, pulse, respirations, height and weight, and pulse oximeter readings.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Performs urinary catheterization (intermittent and indwelling).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Connects patient to cardiac monitoring (hardwire and telemetry).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Collects the following specimens: clean catch urine, urine culture, blood, blood culture, sputum culture, stool specimen, stool culture.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Conducts the following point of care testing: blood glucose.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Accurately measure and record urinary retention using bladder scanner.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safe use of wheelchairs, stretchers, beds, bedside commodes, bedpan, and patient transfers.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Identifies the various oxygen delivery devices and indications for each: nasal cannula, Hi Flow nasal cannula venti-mask, non-rebreather mask, C-Pap. Bi-Pap.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Completes employer safety training.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appropriate safety tasks and documentation.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Adheres to infection prevention practices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Practices appropriate hand hygiene.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Identifies and implements isolations interventions.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appropriate donning and doffing of personal protective equipment (PPE).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aseptic technique.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Identifies the importance of nursing’s role in advocating for avoidance and early discontinuation of invasive devices.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understanding of policies for prevention of Catheter Associated Urinary Tract Infection (CAUTI).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Participates in interprofessional (IP) patient care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Verbalizes the value of each IP role brings to the plan of care.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Discusses importance of LPN role as patient advocate.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Identifies LPN role in evidence-based practice.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Discusses how to address professional disagreements.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Completes Employer Organization’s Orientation/Onboarding Requirement for LPN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Professional Responsibilities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Completes employer audits as assigned.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Actively participates in unit staff meetings, and professional development opportunities.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Achieves Michigan license for Practical Nurse.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Patient Communication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Participates in patient education with RN supervision.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Verbalizes considerations for adult learners.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Identifies barriers to patient learning and strategies to overcome.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Considers developmental and cultural considerations when communicating with patients.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Identifies elements of Relationship-Based Care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With patients/families.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With members of healthcare team.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47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