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Communications Sports Media (1076CB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27-3031.00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1076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educational information to the public.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Respond to requests for information from the media or designate an appropriate spokesperson or information source.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promotional strategies or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the objectives, promotional policies, or needs of organizations to develop public relations strategies that will influence public opinion or promote ideas, products, or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with advertising agencies or staff to arrange promotional campaigns in all types of media for products, organizations, or individuals.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marketing campaigns for environmental technologies or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or direct development or communication of programs to maintain favorable public or stockholder perceptions of an organization's accomplishments, agenda, or environmental responsibility.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Write advertising or promotional material.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press releases or other media communications to promote clients.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Update and maintain content posted on the Web.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in marketing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production or support personnel to produce or coordinate production of advertisements or promotions.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other managers to identify trends or key group interests or concerns or to provide advice on business decisions.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Write informational material.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plans or materials to communicate organizational activities that are beneficial to the environment, public safety, or other important social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or edit organizational publications, such as employee newsletters or stockholders' reports, for internal or external audiences.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Edit written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or edit organizational publications, such as employee newsletters or stockholders' reports, for internal or external audiences.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with management or other staff to resolve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Inform viewers, listeners, or audiences.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or deliver speeches to further public relations objectives.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activities, or organizations.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Purchase advertising space or time as required to promote client's product or agenda.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