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Department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patient identification using two patient identifiers (patient identification during clinical care)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language interpretation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disability services such as sign language interpretation and resources for the deaf or blind (interpreter, ADA)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care of a patient with advanced directives/MOST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entering of medical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how to access and use UCH Lab Test Catalog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 of staff alarm buttons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Gray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mandatory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Health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Confidentiality 42 CR Part 2 (substance use disorder)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process for search of patient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management of contraband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potential medication side effects to report to RN/LPN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 of the SBIRT/SUD,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 rights in substance use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 rights in the BH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symptomotology of patients at risk for substance withdrawal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therapeutic interactions and interventions for patients with substance withdrawal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safety precautions associated with direct patient observation (1:1)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management of group sessions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verbal de-escalation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role in Code Gray/BERT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pre and post incident briefing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therapeutic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completion of patient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process for admission of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process for discharge of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unit door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verbalization of environmental risk assessment and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addictions programs &amp;gt; Intensive Residential Treatment (IRT) &amp;gt; Partial Hospitalization Program (PHP) &amp;gt; Residential Extended Care (REC) &amp;gt;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role of spiritual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role of recovery management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role of orientation services / IOP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charge capture documentation (clinic facility charge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review of safety plans, coping skills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tools needed to facilitate: &amp;lt; Community meetings &amp;lt; Psycho-educational groups &amp;lt; Process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 of Individualized Support Plan (ISP)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hand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donning and doffing of PPE for infection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disinfectant wipes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employee exposure/injury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Device for group attendance for isolation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isolation precautions and location of appropriate PPE (contact/droplet/airborne)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Mobility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proper lifting/turning techniques to prevent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location and use of unit specific available injury prevention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assists with patient ambulation and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John's Hopkins Highest Level of Mobility (JH-HLM)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vital signs machine (blood pressure/pulse ox/temp)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taking Blood Pressure (automated and manual)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checking pulse manually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measure temperature (temporal and oral)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counting respirations for one minute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specific individual and family emotional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individual culturally sensitive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individual age-specific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code status and DNR process Do Not Attempt Resuscitation (DNAR/I) Policy Adult Code Blue Emergency Resuscitation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specimen labeling and handling (acceptability &amp;amp; transport)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Acute Care Patient Care Management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dietary processes (NPO, regular, clear liquid, full liquid, mechanical or dental soft/puree, diabetic, neutropenic, gastric bypass, calorie count, fluid restriction, aspiration precautions)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Demonstrated accurate intake and output measurement and notification to RN of abnormal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process for admission of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process for discharge of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oxygen cylinder storage &amp;amp; management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 and location of seizure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verbalize appropriate use of bed alarm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verbalize appropriate use of chair and toilet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Restraints and Seclusion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monitoring and documentation of patient in bed / chair restraints or seclusion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violent patient bed / chair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care of patient in bed / chair restraints and seclusion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alternatives to restraints and seclusion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physical management process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completion of patient observation checks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emergency conditions with restraint use and activation of emergency response for patient in restraints and seclusion (Regulatory compliance)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Hospital Operation and Emergency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location and proper use of patient emergency response equipment (AED, handheld resuscitation bag &amp;amp; mask, designated emergency oxygen tank)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CPR release on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role in Code Blue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role in Code Medical/RRT/MET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