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Landscape Construction Worker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37-3011.00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Analyze and read landscape blueprint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Adjust design issues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Layout plants for best balance and maintenance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Constructing or maintaining lawns, yards, gardens, or other landscape surfaces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Mixing and spreading mulches, ground cover, soil amendments, decorative bark, or decorative rock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Seeding, sodding, or hydroseeding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Applying chemicals or fertilizers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Planting trees, shrubs or plants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Installing, servicing, or repairing above ground lawn or landscape sprinkler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Installing, servicing, or repairing underground lawn or landscape sprinkler systems to a maximum depth of three feet below finish grade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Constructing rock walls to a maximum height of four feet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Land clearing and/or grubbing to a maximum depth of six inches below finished grade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Spreading top soil to a maximum depth of six inches below finish grade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Trenching to a maximum depth of three feet below finish grade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Installing French drains or other subsurface collection systems to a maximum depth of three feet below finish grade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Hauling top soil, plants, or other landscaping materials in trucks with only one rear axle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and repair tools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Practice safe work habits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Keep job records and write reports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Landscape Construction Worker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37-3011.00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Supervised field trips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Sponsor approved training seminars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Rain Bird Academy (Irrigation), Evergreen Safety Council (Traffic Control), American Red Cross (1st Aid/CPR), Washington Association of Landscape Professionals, Washington State Nursery Landscape Association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Sponsor approved online or distance learning courses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P&amp;G Landscaping, Inc. Safety Plan, Lawnmower Man (Small Engine Repair)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