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Information Security Engineer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15-1299.05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0000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Confer with users to discuss issues such as computer data access needs, security violations, and programming changes.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Document computer security and emergency measures policies, procedures, and tests.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 risk assessments and execute tests of data processing systems to ensure functioning of data processing activities and security measures.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Review violations of computer security procedures and discuss procedures with internal teams to ensure violations are not repeated.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Keep documentation updated; add to the project knowledge database.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Collaborate with others to resolve information technology issues.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Coordinate project activities with other personnel or departments.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Develop computer or information security policies or procedures.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Document operational procedures.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Implement security measures for computer or information systems.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Troubleshoot issues with computer applications or systems.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Update knowledge about emerging industry or technology trends.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Collect stakeholder data to evaluate risk and to develop mitigation strategies. (Risk Register)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Conduct security system audits, using established criteria.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Develop and execute tests that simulate the techniques of known cyber threat actors.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Develop infiltration tests that exploit device vulnerabilities.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Develop presentations on threat intelligence.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Discuss security solutions with information technology teams or management.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Identify security system weaknesses, using penetration tests and document the findings.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Identify new threat tactics, techniques, or procedures used by cyber threat actors.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Keep up with new penetration testing tools and methods.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and submit reports describing the results of security fixes.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Write audit reports to communicate technical and procedural findings and recommend solutions.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Develop organizational policies or programs.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Develop testing routines or procedures.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Interpret design or operational test results.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analytical reports.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Search files, databases or reference materials to obtain needed information.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Demonstrate skills required to problem-solve using critical thinking, clarifying questions, and knowing when to escalate a situation to a superior.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Demonstrate ability to conduct oneself with integrity, professionalism, and in accordance with organization policy and procedure.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Demonstrate skills to communicate with colleagues and superiors effectively and clearly, in a timely manner.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