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Limited Maintenance Electrician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49-9071.00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0644</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Motors and Generators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Assembly and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Repair and maintenance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Internal and external connections to change direction of rotation and speed, and for a change of supply of voltage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Motor setting, drives, pulleys, gears, coupling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Related mechanical equipment: Traction units, cranes, winches, hoists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 place motor cleaning, 100 hours maximum credit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Controls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Manual and automatic, including magnetic and solid state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Troubleshooting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Power Distribution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Inside and outside, high and low voltage distribution systems, maintenance and replacement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Lighting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Electrical oriented drawings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remaining time necessary to complete the apprenticeship program shall be applied according to the apprentice's training needs by the apprenticeship committee and the employer</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Hazardous Work</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Safety training on the specific hazards shall precede work assignments in hazardous areas or on energized equipment. Work shall not be performed on or near energized equipment if such service or equipment can be disconnected. Safety grounds shall be installed during such work and disconnecting devices shall be identified by safety tags. Work on signal systems, control systems, or other equipment energized at 50 volts or less shall not be considered hazardous under normal conditions.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Where work must be done on energized lines or equipment, an apprentice may work with a journeyman as follows: After the first 1,000 OJT hours on power supply voltage up to 125 volts; after 3,000 OJT hours up to 250 volts.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Work on supply voltage between 250 and 600 volts after 4,000 OJT hours, or receipt of journeyman license.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Electronic maintenance may be done by apprentices after 1,000 OJT hours on equipment with in-put of 100 watts or less; after 3,000 OJT hours up to 2500 watts in-put power.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4K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Limited Maintenance Electrician</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49-9071.00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0644</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Electricity and electronics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Fundamental mechanical principles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Mathematics of the trade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Instrumentation and controls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Federal, state and local electrical laws, codes and rules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Blueprint reading, electrical drawings and pictorial, block, one-line and schematic diagrams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Industrial electrical safety: A certified CPR (Cardiopulmonary Resuscitation) course of the committee's choice.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290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