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and read blueprint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design issues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plants for best balance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or maintaining lawns, yards, gardens, or other landscape surfaces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Mixing and spreading mulches, ground cover, soil amendments, decorative bark, or decorative rock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Seeding and sodding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chemicals or fertilizers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Planting trees, shrubs, or plants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 or repairing above ground lawn or landscape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servicing, or repairing underground lawn or landscape sprinkler systems to a maximum depth of three feet below finish grade (3 inch in diameter pipe or smaller)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or placing pre-manufactured trellis work, play equipment, benches, or picnic tables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Constructing rock walls or landscape block walls for beautification purposes of a plot of land by changing its natural features through addition or modification of lawns, trees, bushes etc. to a maximum height of four feet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Land clearing and/or grubbing to a maximum depth of six inches below finished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Spreading top soil to a maximum depth of six inches below finished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Trenching to a maximum depth of three feet below finish grade using power equipment under ninety horsepower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french drains or other subsurface water collection systems (4 inch in diameter pipe of smaller) to a maximum depth of three feet below finish grade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Hauling top soil, plants, or other landscaping materials in trucks with only one rear axle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and repair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Practice safe work habits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job records and write reports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LANDSCAPE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