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Field Ironworker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47-2171.00 &amp; 47-2221.00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(may include but not limited to the following: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Structural Steel, Reinforcing Steel, Architectural Metals, Composite Materials.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Layout, Welding, Oxy-Acetylene Burning, Drilling, Bolting, Bending, Assembling and Preparing Materials for Erection and Installation.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(may include but not limited to the following)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Structural Steel, Reinforcing Steel, Post Tensioning Cables, Architectural Metals, Composite Materials, Decking, Miscellaneous Metals and Rigging, Green Construction (includes Wind Turbines, Solar, Awnings and Shades)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Job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 and Equipment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Rigging (includes signaling and flagging)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Delivery and Cleanup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Green Construction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Field Ironworker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47-2171.00 &amp; 47-2221.00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OXY ACETYLENE CUTTING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ORIENTATIONS (STRUCTURAL, REINFORCING, ARCHITECTURAL, MISCELLANEOUS IRON)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FASTNERS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FABRICATION METHODS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(INCLUDES CRANE SIGNALING &amp; FLAGGING)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PRECAST ERECTION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 BUILDING ERECTION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REINFORCING STEEL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POST TENSIONING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STRUCTURAL STEEL ERECTION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ARCHITECTURAL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AID/CPR (AMERICAN RED CROSS STANDARDS) OSHA 30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GREEN CONSTRUCTION (INCLUDING BUT NOT LIMITED TO</w:t>
              <w:br/>
              <w:t>THE PHILOSOPHY AND SCIENCE OF GREEN TECHNOLOGY AND</w:t>
              <w:br/>
              <w:t>GREEN BUILDING AND CONSTRUCTION TECHNIQUES, GREEN</w:t>
              <w:br/>
              <w:t>WASTE MANAGEMENT, THE FABRICATION AND INSTALLATION OF</w:t>
              <w:br/>
              <w:t>ENERGY EFFICIENT SYSTEMS INCLUDING SOLAR, WIND</w:t>
              <w:br/>
              <w:t>AND HYDRO SYSTEMS)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FOREMAN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WATCH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TRAFFIC FLAGGER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FALL PROTECTION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