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K -12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CMCSS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as outlined in the CMCSS, school level handbook, and Agency Code of Ethics.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 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 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teacher in reinforcing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teacher guidance to identify instructional roles throughout lessons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assist teacher in collecting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weekly with MCL to determine instructional roles; reflect on implementation of role before setting roles for the next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expectations indicator in the Environment domain of the TEAM General Educator Rubric and work with MCL to set two goals related to this indicator. Share goals with building level administrator.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conjunction with MCL, identify a student in need of an individualized behavior intervention plan, collaborate to establish and communicate expectations of the plan, collect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Managing Student Behavior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grade level collaboration and staff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conversations with MCL (outside of grade level collaborative planning) describing weekly responsibilities for roles within the classroom.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SPED staff to review an IEP for at least one student in your class/grade level prior to attending an IEP meeting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of the following SpEd offerings within your school one time during the school year: skills-based intervention, speech and language, and extended resource.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learning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backwards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of each student in your class/grade level within the first nine weeks of school; discuss the use of the at-a-glance reports with the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 eligibility meeting and the follow-up IEP meeting for that same student.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one school-level assessment per semester and collaborate with the MCL to ensure standard alignment before sharing with the grade level team during common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MCL to collect data related to the goals of the IEP of at least one student and determine the effectiveness of the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child who has been identified through multi-tiered systems of support (MTSS) through the process: consent to test through eligibility and possible IEP.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target.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clear target to the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utilizing the Explicit Direct Instruction (EDI) Observation Tool to take notes about the parts of the lesson observed.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EDI Observations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MCL to write one clear target per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co-teaching, refer back to the clear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to track MCL and determine the time involved in transitions, distributing materials, and the structure between beginning, middle, and end of the lesson.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plan and co-teach a unit of study each nine weeks.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the unit of study instruction with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all of the clear targets for one unit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refer back to clear target throughout the entire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addition to year two, choose the most effective materials that are challenging, elicit a variety of thinking, and incorporate opportunities for blended learning.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a minimum of two times per nine weeks, the TR/apprentice will facilitate instruction and receive feedback from MCL on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independently plan and teach a unit of study each nine weeks.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TR/apprentice will receive feedback from MCL throughout the unit of study and make instructional adjustments based on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