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Community Health Nurse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29-1141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9999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Phase I: (Weeks 1-12) Organizational Enculturation and Care of the Home Care Patient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Patient visits with preceptor and residency team members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Patient Visits with Inter-professional Team Members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Clinical experience Kent Hospital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380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Phase II (Weeks 13-37) Role Transition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Supervised patient visits and joint case management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910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Phase III (Weeks 38-52) Role Integration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Patient visits as integrated member of VNA team with continued daily support from residency manager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570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1.9K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Community Health Nurse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29-1141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9999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Patient-Centered Care Every Visit Every Time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VNA Mandatory training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Safe Communication using SBAR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Management of the Patient with Heart Failure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Management of the Patient with COPD &amp; Oxygen Safety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Management of the Patient with Diabetes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Management of the Patient with Depression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Integrated Care Management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Creating a Culture of Safety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Infection Control and Bag Technique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Safe Patient Handling &amp; Falls Prevention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Medication Reconciliation &amp; High Risk Medications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Skin Care and Wound Therapy and Ostomy Care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Horizon Homecare McKesson Software Training (Beginner)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Cultural Diversity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Health Equity Summit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Case Management (Parts I and II)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End of Life and Palliative Care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Horizon Homecare McKesson Software Training (Advanced)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Interpersonal communication: Perspective vs. perception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Conflict Management and Resolution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Interpersonal Communication: Giving and Receiving Feedback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VNAA 5 Star Strategies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OASIS Data Collection and Process Measures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Ethical Issues in Nursing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Using Evidence and Research in Practice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140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