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HEALTH INFORMATION MANAGEMENT (HIM) PROFESSIONAL FEE CODER APPRENTICESHIP</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2063CB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maintain electronic applications and work processes to support clinical classification and coding (for example, encoding and grouping software)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understanding in use and application of encoder and grouper software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outpatient diagnosis and procedure codes according to current nomenclature and demonstrate adherence to current regulations and established guidelines in code assignment (focus on assignment of first listed diagnosis, and sequencing as well as other clinical coding guidelines)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Audits indicate appropriate code and sequencing use following regulations and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Ensure accuracy of diagnostic/procedural APC (Ambulatory Payment Classification) system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Audits indicate accuracy of APC assignment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Validate outpatient coding accuracy using clinical information found in the health record</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Audits indicate accuracy of diagnostic and procedural coding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maintain applications and processes to support other clinical classification and nomenclature as appropriate to the work setting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correct coding nomenclature for patient type and location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Resolve discrepancies between coded data and supporting documentation.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Creates compliant physician queries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Communicates with providers to ensure appropriate documentation.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Queries reviewed met facility criteria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policies and procedures for the use of clinical data required in reimbursement and outpatient prospective payment systems (OPPS) in healthcare delivery as well as changing regulations among various payment systems for healthcare services such as Medicare, Medicaid, managed care, etc.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Adheres to national, regional and facility-specific requirements for accurate reimbursement by payer type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 accurate billing through coding, chargemaster, claims management, and bill reconciliation processes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Reviews codes identified manually and by the chargemaster to ensure compliant billing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established guidelines to comply with reimbursement and outpatient reporting requirements such as the National Correct Coding Initiative and others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Follows coding edits for compliance with NCCI</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Compile patient data and perform data quality reviews to validate code assignment and compliance with reporting requirements such as outpatient prospective payment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 in compliance (fraud and abuse), HIPAA (Health Insurance Portability and Accountability Act of 1996), and other organization specific training.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