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PHLEBOTOMIST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31-9097.00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CLERICAL FUNCTIONS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eDH and Cerner computer systems to access patient orders; print requisitions; input orders (including outside provider orders); print label; research undefined tests; assess appropriateness of multiple tests (avoid duplicate billing).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LABORATORY PREPARATION AND MAINTENANCE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phlebotomy workstations and patients with appropriate supplies for collecting and labeling blood and fluid specimens; record temperatures on refrigerators.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TECHNICAL FUNCTIONS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appropriate collection site; use aseptic technique when collecting blood; collect appropriate volume; label specimens accurately; assess patient during and after procedure, release when appropriate.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 CARE SERVICES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patients according to lab policy; explain procedures to patients appropriately; demonstrate integrity and compassion when interacting with patients and caregivers; demonstrate ability to set priorities and be able to manage multiple tasks.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PROFESSIONAL/DEPARTMENT GROWTH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national available resources to keep current on all aspects of the phlebotomy field, including attending conferences, re-certifying credentials, and sharing the latest processes and procedures learned with other departmental staff. Attend staff meetings; demonstrate willingness to learn; accept accountability for actions; keep current on changes in lab tests, policies, procedures; complete special assignments without reservation.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LABORATORY PROCEDURES/POLICIES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all written procedures; use personal protection; follow universal policy when handling specimens; maintain ongoing awareness of patient rights; use written resources and supervisors to solve problems; follow national HIPAA compliance standards; understand and fulfill required overtime and holiday shift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calm, professional demeanor; proficient at answering phones, recording and communicating messages; work cooperatively with others; foster two-way communication with co-workers and supervisors; demonstrate appropriate self-confidence and initiative; contribute positively to make work area run more efficiently.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PHLEBOTOMIST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31-9097.00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Phlebotomy Certificate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Community College – Certificate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Terminology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Anatomy and Physiology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Essential Communication for the Healthcare Professional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Phlebotomy Practicum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