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Sound Engineer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27-4014.00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0527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I</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sound reinforcement principles/techniques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theatre/live sound set up/ operation/strike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Analog/Digital Sound Operation: Static board, tablets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Signal Flow: Cabling, monitors, FOH, mixing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Instruction: Theatre, live, production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Sound Reinforcement Power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Art of Microphones: Setting up mics, learning all microphones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Mixing Audio: Live, pre/post, video/computers, production mixing, recording/edit/format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sound reinforcement principles/techniques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theatre/live sound set up/ operation/strike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II</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Audio Skills: Operation, recording, live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Sound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Audio: Video, routing, busing, mixing, edit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Audio Mapping: Science,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Audio Content Creation: Encryption, decryption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Audio Forensics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Workstation Applications NLE Complete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Applied EFX Pre/Post-Production Live Sound Integration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Intermediate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Media Servers: Laptops, tablet, internet-based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Streaming Sound: Surround sound, configuration, and implementation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Content Sound Distribution: Movies, animation, streaming, live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Routing: Virtual routing, routing configurations, audio zoning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Bussing: Compression, limiting, maximize live sound configurations for mixing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Recording Live: Tracking, labeling, explode tracks, mix, render, format, deliverables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Advanced</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Array Configuration: Design, setup, wiring and calibrate system, CAD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Array Configuration: Design, setup , calibrate live, field, and theatre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World: Design, setup, calibrate, live concert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Cabling: Power distribution, live production, comprehension of 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Front of House (FOH) Mixing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Sound Software: Operation, Routing, Mixing, Recording, Format, Output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Customer Service: Client relationship, administration protocols, language, communication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